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before="280"/>
        <w:jc w:val="center"/>
      </w:pPr>
      <w:r>
        <w:drawing>
          <wp:inline distT="0" distB="0" distL="0" distR="0">
            <wp:extent cx="1066800" cy="1066800"/>
            <wp:effectExtent t="0" r="0" b="0" l="0"/>
            <wp:docPr id="1" name="UDP-CICD logo" descr="Teal layered Unified Data Platform mark" title="UDP-CI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66800" cy="1066800"/>
                    </a:xfrm>
                    <a:prstGeom prst="rect">
                      <a:avLst/>
                    </a:prstGeom>
                  </pic:spPr>
                </pic:pic>
              </a:graphicData>
            </a:graphic>
          </wp:inline>
        </w:drawing>
      </w:r>
    </w:p>
    <w:p>
      <w:pPr>
        <w:spacing w:after="140"/>
        <w:jc w:val="center"/>
      </w:pPr>
      <w:r>
        <w:rPr>
          <w:rFonts w:ascii="Aptos Display" w:cs="Aptos Display" w:eastAsia="Aptos Display" w:hAnsi="Aptos Display"/>
          <w:b/>
          <w:bCs/>
          <w:color w:val="102A27"/>
          <w:sz w:val="46"/>
          <w:szCs w:val="46"/>
        </w:rPr>
        <w:t xml:space="preserve">Unified Data Platform Deployment</w:t>
      </w:r>
    </w:p>
    <w:p>
      <w:pPr>
        <w:spacing w:after="100"/>
        <w:jc w:val="center"/>
      </w:pPr>
      <w:r>
        <w:rPr>
          <w:rFonts w:ascii="Aptos Display" w:cs="Aptos Display" w:eastAsia="Aptos Display" w:hAnsi="Aptos Display"/>
          <w:color w:val="008C7A"/>
          <w:sz w:val="30"/>
          <w:szCs w:val="30"/>
        </w:rPr>
        <w:t xml:space="preserve">Product and Operations Brief</w:t>
      </w:r>
    </w:p>
    <w:p>
      <w:pPr>
        <w:spacing w:after="480"/>
        <w:jc w:val="center"/>
      </w:pPr>
      <w:r>
        <w:rPr>
          <w:rFonts w:ascii="Aptos" w:cs="Aptos" w:eastAsia="Aptos" w:hAnsi="Aptos"/>
          <w:color w:val="5B6B67"/>
          <w:sz w:val="22"/>
          <w:szCs w:val="22"/>
        </w:rPr>
        <w:t xml:space="preserve">Version 1.14.0 | July 31, 2026</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8400"/>
      </w:tblGrid>
      <w:tr>
        <w:tc>
          <w:tcPr>
            <w:tcW w:type="dxa" w:w="8400"/>
            <w:tcBorders>
              <w:top w:val="single" w:color="008C7A" w:sz="8"/>
              <w:left w:val="single" w:color="008C7A" w:sz="8"/>
              <w:bottom w:val="single" w:color="008C7A" w:sz="8"/>
              <w:right w:val="single" w:color="008C7A" w:sz="8"/>
            </w:tcBorders>
            <w:shd w:fill="EAF7F3" w:val="clear"/>
            <w:tcMar>
              <w:top w:type="dxa" w:w="220"/>
              <w:left w:type="dxa" w:w="260"/>
              <w:bottom w:type="dxa" w:w="220"/>
              <w:right w:type="dxa" w:w="260"/>
            </w:tcMar>
          </w:tcPr>
          <w:p>
            <w:pPr>
              <w:spacing w:after="0" w:line="300"/>
            </w:pPr>
            <w:r>
              <w:rPr>
                <w:rFonts w:ascii="Aptos" w:cs="Aptos" w:eastAsia="Aptos" w:hAnsi="Aptos"/>
                <w:b/>
                <w:bCs/>
                <w:color w:val="153E37"/>
                <w:sz w:val="24"/>
                <w:szCs w:val="24"/>
              </w:rPr>
              <w:t xml:space="preserve">One declarative model for Microsoft Fabric, Microsoft Entra, and Azure - with secure deployment assurance and semantic-model-driven ontology authoring.</w:t>
            </w:r>
          </w:p>
        </w:tc>
      </w:tr>
    </w:tbl>
    <w:p>
      <w:r>
        <w:br w:type="page"/>
      </w:r>
    </w:p>
    <w:p>
      <w:pPr>
        <w:pStyle w:val="Heading1"/>
      </w:pPr>
      <w:r>
        <w:t xml:space="preserve">Executive summary</w:t>
      </w:r>
    </w:p>
    <w:p>
      <w:pPr>
        <w:spacing w:after="140" w:line="300"/>
      </w:pPr>
      <w:r>
        <w:rPr>
          <w:rFonts w:ascii="Aptos" w:cs="Aptos" w:eastAsia="Aptos" w:hAnsi="Aptos"/>
          <w:b w:val="false"/>
          <w:bCs w:val="false"/>
          <w:color w:val="182321"/>
          <w:sz w:val="22"/>
          <w:szCs w:val="22"/>
        </w:rPr>
        <w:t xml:space="preserve">UDP-CICD is a .NET 9 toolset for describing and operating a Microsoft data estate from one udp.yml manifest. The model spans Fabric workspace items, Microsoft Entra identities, and Azure resources, then resolves dependencies, previews change, deploys idempotently, and records state for drift analysis.</w:t>
      </w:r>
    </w:p>
    <w:p>
      <w:pPr>
        <w:spacing w:after="140" w:line="300"/>
      </w:pPr>
      <w:r>
        <w:rPr>
          <w:rFonts w:ascii="Aptos" w:cs="Aptos" w:eastAsia="Aptos" w:hAnsi="Aptos"/>
          <w:b w:val="false"/>
          <w:bCs w:val="false"/>
          <w:color w:val="182321"/>
          <w:sz w:val="22"/>
          <w:szCs w:val="22"/>
        </w:rPr>
        <w:t xml:space="preserve">Release 1.14.0 extends the product in two directions: a guarded black-box harness for all 14 examples and a Windows Ontology Builder that turns Fabric semantic models into editable, publishable Ontology items.</w:t>
      </w:r>
    </w:p>
    <w:p>
      <w:pPr>
        <w:pStyle w:val="Heading2"/>
      </w:pPr>
      <w:r>
        <w:t xml:space="preserve">What ships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640"/>
        <w:gridCol w:w="2820"/>
      </w:tblGrid>
      <w:tr>
        <w:trPr>
          <w:tblHeader/>
        </w:trPr>
        <w:tc>
          <w:tcPr>
            <w:tcW w:type="dxa" w:w="19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Surface</w:t>
            </w:r>
          </w:p>
        </w:tc>
        <w:tc>
          <w:tcPr>
            <w:tcW w:type="dxa" w:w="464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Purpose</w:t>
            </w:r>
          </w:p>
        </w:tc>
        <w:tc>
          <w:tcPr>
            <w:tcW w:type="dxa" w:w="282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Distribution</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udp-cicd</w:t>
            </w:r>
          </w:p>
        </w:tc>
        <w:tc>
          <w:tcPr>
            <w:tcW w:type="dxa" w:w="464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Validate, plan, deploy, destroy, inspect, and generate manifests</w:t>
            </w:r>
          </w:p>
        </w:tc>
        <w:tc>
          <w:tcPr>
            <w:tcW w:type="dxa" w:w="282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NuGet global tool</w:t>
            </w:r>
          </w:p>
        </w:tc>
      </w:tr>
      <w:tr>
        <w:tc>
          <w:tcPr>
            <w:tcW w:type="dxa" w:w="19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udp-cicd-mcp</w:t>
            </w:r>
          </w:p>
        </w:tc>
        <w:tc>
          <w:tcPr>
            <w:tcW w:type="dxa" w:w="464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Expose 14 deployment operations to AI assistants</w:t>
            </w:r>
          </w:p>
        </w:tc>
        <w:tc>
          <w:tcPr>
            <w:tcW w:type="dxa" w:w="282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NuGet global tool</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udp.yml Editor</w:t>
            </w:r>
          </w:p>
        </w:tc>
        <w:tc>
          <w:tcPr>
            <w:tcW w:type="dxa" w:w="464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Edit multi-platform manifests in a Windows desktop UI</w:t>
            </w:r>
          </w:p>
        </w:tc>
        <w:tc>
          <w:tcPr>
            <w:tcW w:type="dxa" w:w="282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Source build</w:t>
            </w:r>
          </w:p>
        </w:tc>
      </w:tr>
      <w:tr>
        <w:tc>
          <w:tcPr>
            <w:tcW w:type="dxa" w:w="19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Ontology Builder</w:t>
            </w:r>
          </w:p>
        </w:tc>
        <w:tc>
          <w:tcPr>
            <w:tcW w:type="dxa" w:w="464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Import a semantic model and publish a Fabric Ontology</w:t>
            </w:r>
          </w:p>
        </w:tc>
        <w:tc>
          <w:tcPr>
            <w:tcW w:type="dxa" w:w="282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GitHub release ZIP</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Deployment harness</w:t>
            </w:r>
          </w:p>
        </w:tc>
        <w:tc>
          <w:tcPr>
            <w:tcW w:type="dxa" w:w="464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Exercise all 14 examples with evidence and bounded cleanup</w:t>
            </w:r>
          </w:p>
        </w:tc>
        <w:tc>
          <w:tcPr>
            <w:tcW w:type="dxa" w:w="282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Repository source</w:t>
            </w:r>
          </w:p>
        </w:tc>
      </w:tr>
    </w:tbl>
    <w:p>
      <w:pPr>
        <w:pStyle w:val="Heading1"/>
      </w:pPr>
      <w:r>
        <w:t xml:space="preserve">Architecture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140"/>
        <w:gridCol w:w="3020"/>
      </w:tblGrid>
      <w:tr>
        <w:trPr>
          <w:tblHeader/>
        </w:trPr>
        <w:tc>
          <w:tcPr>
            <w:tcW w:type="dxa" w:w="22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Control plane</w:t>
            </w:r>
          </w:p>
        </w:tc>
        <w:tc>
          <w:tcPr>
            <w:tcW w:type="dxa" w:w="414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Provider path</w:t>
            </w:r>
          </w:p>
        </w:tc>
        <w:tc>
          <w:tcPr>
            <w:tcW w:type="dxa" w:w="302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Typical scope</w:t>
            </w:r>
          </w:p>
        </w:tc>
      </w:tr>
      <w:tr>
        <w:tc>
          <w:tcPr>
            <w:tcW w:type="dxa" w:w="22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Microsoft Fabric</w:t>
            </w:r>
          </w:p>
        </w:tc>
        <w:tc>
          <w:tcPr>
            <w:tcW w:type="dxa" w:w="414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Fabric REST API</w:t>
            </w:r>
          </w:p>
        </w:tc>
        <w:tc>
          <w:tcPr>
            <w:tcW w:type="dxa" w:w="302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Workspace and tenant administration</w:t>
            </w:r>
          </w:p>
        </w:tc>
      </w:tr>
      <w:tr>
        <w:tc>
          <w:tcPr>
            <w:tcW w:type="dxa" w:w="22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Microsoft Entra</w:t>
            </w:r>
          </w:p>
        </w:tc>
        <w:tc>
          <w:tcPr>
            <w:tcW w:type="dxa" w:w="414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Microsoft Graph</w:t>
            </w:r>
          </w:p>
        </w:tc>
        <w:tc>
          <w:tcPr>
            <w:tcW w:type="dxa" w:w="302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Tenant directory objects</w:t>
            </w:r>
          </w:p>
        </w:tc>
      </w:tr>
      <w:tr>
        <w:tc>
          <w:tcPr>
            <w:tcW w:type="dxa" w:w="22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Azure</w:t>
            </w:r>
          </w:p>
        </w:tc>
        <w:tc>
          <w:tcPr>
            <w:tcW w:type="dxa" w:w="414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Generated or supplied Bicep through Azure CLI</w:t>
            </w:r>
          </w:p>
        </w:tc>
        <w:tc>
          <w:tcPr>
            <w:tcW w:type="dxa" w:w="302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Subscription and resource group</w:t>
            </w:r>
          </w:p>
        </w:tc>
      </w:tr>
    </w:tbl>
    <w:p>
      <w:pPr>
        <w:pStyle w:val="Heading2"/>
      </w:pPr>
      <w:r>
        <w:t xml:space="preserve">Engine flow</w:t>
      </w:r>
    </w:p>
    <w:p>
      <w:pPr>
        <w:pStyle w:val="ListParagraph"/>
        <w:numPr>
          <w:ilvl w:val="0"/>
          <w:numId w:val="2"/>
        </w:numPr>
        <w:spacing w:after="90" w:line="280"/>
      </w:pPr>
      <w:r>
        <w:rPr>
          <w:rFonts w:ascii="Aptos" w:cs="Aptos" w:eastAsia="Aptos" w:hAnsi="Aptos"/>
          <w:color w:val="182321"/>
          <w:sz w:val="21"/>
          <w:szCs w:val="21"/>
        </w:rPr>
        <w:t xml:space="preserve">Load udp.yml, includes, targets, variables, and deferred secret references.</w:t>
      </w:r>
    </w:p>
    <w:p>
      <w:pPr>
        <w:pStyle w:val="ListParagraph"/>
        <w:numPr>
          <w:ilvl w:val="0"/>
          <w:numId w:val="2"/>
        </w:numPr>
        <w:spacing w:after="90" w:line="280"/>
      </w:pPr>
      <w:r>
        <w:rPr>
          <w:rFonts w:ascii="Aptos" w:cs="Aptos" w:eastAsia="Aptos" w:hAnsi="Aptos"/>
          <w:color w:val="182321"/>
          <w:sz w:val="21"/>
          <w:szCs w:val="21"/>
        </w:rPr>
        <w:t xml:space="preserve">Resolve resource dependencies and compute a deterministic deployment order.</w:t>
      </w:r>
    </w:p>
    <w:p>
      <w:pPr>
        <w:pStyle w:val="ListParagraph"/>
        <w:numPr>
          <w:ilvl w:val="0"/>
          <w:numId w:val="2"/>
        </w:numPr>
        <w:spacing w:after="90" w:line="280"/>
      </w:pPr>
      <w:r>
        <w:rPr>
          <w:rFonts w:ascii="Aptos" w:cs="Aptos" w:eastAsia="Aptos" w:hAnsi="Aptos"/>
          <w:color w:val="182321"/>
          <w:sz w:val="21"/>
          <w:szCs w:val="21"/>
        </w:rPr>
        <w:t xml:space="preserve">Compare desired state with the live control planes and produce a plan.</w:t>
      </w:r>
    </w:p>
    <w:p>
      <w:pPr>
        <w:pStyle w:val="ListParagraph"/>
        <w:numPr>
          <w:ilvl w:val="0"/>
          <w:numId w:val="2"/>
        </w:numPr>
        <w:spacing w:after="90" w:line="280"/>
      </w:pPr>
      <w:r>
        <w:rPr>
          <w:rFonts w:ascii="Aptos" w:cs="Aptos" w:eastAsia="Aptos" w:hAnsi="Aptos"/>
          <w:color w:val="182321"/>
          <w:sz w:val="21"/>
          <w:szCs w:val="21"/>
        </w:rPr>
        <w:t xml:space="preserve">Dispatch each resource to Fabric, Entra, or Azure and record state.</w:t>
      </w:r>
    </w:p>
    <w:p>
      <w:pPr>
        <w:pStyle w:val="ListParagraph"/>
        <w:numPr>
          <w:ilvl w:val="0"/>
          <w:numId w:val="2"/>
        </w:numPr>
        <w:spacing w:after="90" w:line="280"/>
      </w:pPr>
      <w:r>
        <w:rPr>
          <w:rFonts w:ascii="Aptos" w:cs="Aptos" w:eastAsia="Aptos" w:hAnsi="Aptos"/>
          <w:color w:val="182321"/>
          <w:sz w:val="21"/>
          <w:szCs w:val="21"/>
        </w:rPr>
        <w:t xml:space="preserve">Use the state record for status, history, drift detection, and controlled teardown.</w:t>
      </w:r>
    </w:p>
    <w:p>
      <w:pPr>
        <w:pStyle w:val="Heading1"/>
      </w:pPr>
      <w:r>
        <w:t xml:space="preserve">Release 1.14.0 highlights</w:t>
      </w:r>
    </w:p>
    <w:p>
      <w:pPr>
        <w:pStyle w:val="Heading2"/>
      </w:pPr>
      <w:r>
        <w:t xml:space="preserve">Deployment example harness</w:t>
      </w:r>
    </w:p>
    <w:p>
      <w:pPr>
        <w:pStyle w:val="ListParagraph"/>
        <w:numPr>
          <w:ilvl w:val="0"/>
          <w:numId w:val="3"/>
        </w:numPr>
        <w:spacing w:after="90" w:line="280"/>
      </w:pPr>
      <w:r>
        <w:rPr>
          <w:rFonts w:ascii="Aptos" w:cs="Aptos" w:eastAsia="Aptos" w:hAnsi="Aptos"/>
          <w:color w:val="182321"/>
          <w:sz w:val="21"/>
          <w:szCs w:val="21"/>
        </w:rPr>
        <w:t xml:space="preserve">Covers every example from 01 through 14 through one local and CI entry point.</w:t>
      </w:r>
    </w:p>
    <w:p>
      <w:pPr>
        <w:pStyle w:val="ListParagraph"/>
        <w:numPr>
          <w:ilvl w:val="0"/>
          <w:numId w:val="3"/>
        </w:numPr>
        <w:spacing w:after="90" w:line="280"/>
      </w:pPr>
      <w:r>
        <w:rPr>
          <w:rFonts w:ascii="Aptos" w:cs="Aptos" w:eastAsia="Aptos" w:hAnsi="Aptos"/>
          <w:color w:val="182321"/>
          <w:sz w:val="21"/>
          <w:szCs w:val="21"/>
        </w:rPr>
        <w:t xml:space="preserve">Separates non-authenticated Preflight and Validate from authenticated Plan and Deploy.</w:t>
      </w:r>
    </w:p>
    <w:p>
      <w:pPr>
        <w:pStyle w:val="ListParagraph"/>
        <w:numPr>
          <w:ilvl w:val="0"/>
          <w:numId w:val="3"/>
        </w:numPr>
        <w:spacing w:after="90" w:line="280"/>
      </w:pPr>
      <w:r>
        <w:rPr>
          <w:rFonts w:ascii="Aptos" w:cs="Aptos" w:eastAsia="Aptos" w:hAnsi="Aptos"/>
          <w:color w:val="182321"/>
          <w:sz w:val="21"/>
          <w:szCs w:val="21"/>
        </w:rPr>
        <w:t xml:space="preserve">Builds the exact source revision under test instead of installing a separately published package.</w:t>
      </w:r>
    </w:p>
    <w:p>
      <w:pPr>
        <w:pStyle w:val="ListParagraph"/>
        <w:numPr>
          <w:ilvl w:val="0"/>
          <w:numId w:val="3"/>
        </w:numPr>
        <w:spacing w:after="90" w:line="280"/>
      </w:pPr>
      <w:r>
        <w:rPr>
          <w:rFonts w:ascii="Aptos" w:cs="Aptos" w:eastAsia="Aptos" w:hAnsi="Aptos"/>
          <w:color w:val="182321"/>
          <w:sz w:val="21"/>
          <w:szCs w:val="21"/>
        </w:rPr>
        <w:t xml:space="preserve">Stages isolated manifests and uses high-entropy names to avoid collisions.</w:t>
      </w:r>
    </w:p>
    <w:p>
      <w:pPr>
        <w:pStyle w:val="ListParagraph"/>
        <w:numPr>
          <w:ilvl w:val="0"/>
          <w:numId w:val="3"/>
        </w:numPr>
        <w:spacing w:after="90" w:line="280"/>
      </w:pPr>
      <w:r>
        <w:rPr>
          <w:rFonts w:ascii="Aptos" w:cs="Aptos" w:eastAsia="Aptos" w:hAnsi="Aptos"/>
          <w:color w:val="182321"/>
          <w:sz w:val="21"/>
          <w:szCs w:val="21"/>
        </w:rPr>
        <w:t xml:space="preserve">Publishes HTML, JSON, JSONL, command logs, requirements, and permission evidence.</w:t>
      </w:r>
    </w:p>
    <w:p>
      <w:pPr>
        <w:pStyle w:val="ListParagraph"/>
        <w:numPr>
          <w:ilvl w:val="0"/>
          <w:numId w:val="3"/>
        </w:numPr>
        <w:spacing w:after="90" w:line="280"/>
      </w:pPr>
      <w:r>
        <w:rPr>
          <w:rFonts w:ascii="Aptos" w:cs="Aptos" w:eastAsia="Aptos" w:hAnsi="Aptos"/>
          <w:color w:val="182321"/>
          <w:sz w:val="21"/>
          <w:szCs w:val="21"/>
        </w:rPr>
        <w:t xml:space="preserve">Deletes only when provider-native IDs, run markers, and exact child resource sets still match.</w:t>
      </w:r>
    </w:p>
    <w:p>
      <w:pPr>
        <w:pStyle w:val="Heading2"/>
      </w:pPr>
      <w:r>
        <w:t xml:space="preserve">Ontology Builder</w:t>
      </w:r>
    </w:p>
    <w:p>
      <w:pPr>
        <w:pStyle w:val="ListParagraph"/>
        <w:numPr>
          <w:ilvl w:val="0"/>
          <w:numId w:val="3"/>
        </w:numPr>
        <w:spacing w:after="90" w:line="280"/>
      </w:pPr>
      <w:r>
        <w:rPr>
          <w:rFonts w:ascii="Aptos" w:cs="Aptos" w:eastAsia="Aptos" w:hAnsi="Aptos"/>
          <w:color w:val="182321"/>
          <w:sz w:val="21"/>
          <w:szCs w:val="21"/>
        </w:rPr>
        <w:t xml:space="preserve">Lists Fabric semantic models and reads their definitions in TMDL format.</w:t>
      </w:r>
    </w:p>
    <w:p>
      <w:pPr>
        <w:pStyle w:val="ListParagraph"/>
        <w:numPr>
          <w:ilvl w:val="0"/>
          <w:numId w:val="3"/>
        </w:numPr>
        <w:spacing w:after="90" w:line="280"/>
      </w:pPr>
      <w:r>
        <w:rPr>
          <w:rFonts w:ascii="Aptos" w:cs="Aptos" w:eastAsia="Aptos" w:hAnsi="Aptos"/>
          <w:color w:val="182321"/>
          <w:sz w:val="21"/>
          <w:szCs w:val="21"/>
        </w:rPr>
        <w:t xml:space="preserve">Maps tables to entities, columns to properties, and model relationships to ontology relationships.</w:t>
      </w:r>
    </w:p>
    <w:p>
      <w:pPr>
        <w:pStyle w:val="ListParagraph"/>
        <w:numPr>
          <w:ilvl w:val="0"/>
          <w:numId w:val="3"/>
        </w:numPr>
        <w:spacing w:after="90" w:line="280"/>
      </w:pPr>
      <w:r>
        <w:rPr>
          <w:rFonts w:ascii="Aptos" w:cs="Aptos" w:eastAsia="Aptos" w:hAnsi="Aptos"/>
          <w:color w:val="182321"/>
          <w:sz w:val="21"/>
          <w:szCs w:val="21"/>
        </w:rPr>
        <w:t xml:space="preserve">Generates technical names, logical names, descriptions, and supported Fabric value types.</w:t>
      </w:r>
    </w:p>
    <w:p>
      <w:pPr>
        <w:pStyle w:val="ListParagraph"/>
        <w:numPr>
          <w:ilvl w:val="0"/>
          <w:numId w:val="3"/>
        </w:numPr>
        <w:spacing w:after="90" w:line="280"/>
      </w:pPr>
      <w:r>
        <w:rPr>
          <w:rFonts w:ascii="Aptos" w:cs="Aptos" w:eastAsia="Aptos" w:hAnsi="Aptos"/>
          <w:color w:val="182321"/>
          <w:sz w:val="21"/>
          <w:szCs w:val="21"/>
        </w:rPr>
        <w:t xml:space="preserve">Saves an editable *.ontology.json source file and publishes a new Fabric Ontology item.</w:t>
      </w:r>
    </w:p>
    <w:p>
      <w:pPr>
        <w:pStyle w:val="Heading2"/>
      </w:pPr>
      <w:r>
        <w:t xml:space="preserve">Strict validation behavior</w:t>
      </w:r>
    </w:p>
    <w:p>
      <w:pPr>
        <w:spacing w:after="140" w:line="300"/>
      </w:pPr>
      <w:r>
        <w:rPr>
          <w:rFonts w:ascii="Aptos" w:cs="Aptos" w:eastAsia="Aptos" w:hAnsi="Aptos"/>
          <w:b w:val="false"/>
          <w:bCs w:val="false"/>
          <w:color w:val="182321"/>
          <w:sz w:val="22"/>
          <w:szCs w:val="22"/>
        </w:rPr>
        <w:t xml:space="preserve">Strict loading now allows valid secret and Key Vault references to remain deferred until plan or deployment. Unresolved ordinary variables still fail validation, so early feedback remains strict without forcing secret resolution into source-only checks.</w:t>
      </w:r>
    </w:p>
    <w:p>
      <w:pPr>
        <w:pStyle w:val="Heading1"/>
      </w:pPr>
      <w:r>
        <w:t xml:space="preserve">Secure promotion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880"/>
        <w:gridCol w:w="1380"/>
        <w:gridCol w:w="4600"/>
      </w:tblGrid>
      <w:tr>
        <w:trPr>
          <w:tblHeader/>
        </w:trPr>
        <w:tc>
          <w:tcPr>
            <w:tcW w:type="dxa" w:w="15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Mode</w:t>
            </w:r>
          </w:p>
        </w:tc>
        <w:tc>
          <w:tcPr>
            <w:tcW w:type="dxa" w:w="188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Authentication</w:t>
            </w:r>
          </w:p>
        </w:tc>
        <w:tc>
          <w:tcPr>
            <w:tcW w:type="dxa" w:w="138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Mutation</w:t>
            </w:r>
          </w:p>
        </w:tc>
        <w:tc>
          <w:tcPr>
            <w:tcW w:type="dxa" w:w="46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Operator outcome</w:t>
            </w:r>
          </w:p>
        </w:tc>
      </w:tr>
      <w:tr>
        <w:tc>
          <w:tcPr>
            <w:tcW w:type="dxa" w:w="15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Preflight</w:t>
            </w:r>
          </w:p>
        </w:tc>
        <w:tc>
          <w:tcPr>
            <w:tcW w:type="dxa" w:w="188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None</w:t>
            </w:r>
          </w:p>
        </w:tc>
        <w:tc>
          <w:tcPr>
            <w:tcW w:type="dxa" w:w="138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None</w:t>
            </w:r>
          </w:p>
        </w:tc>
        <w:tc>
          <w:tcPr>
            <w:tcW w:type="dxa" w:w="46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Discover missing tools, values, assets, principals, and safety blockers</w:t>
            </w:r>
          </w:p>
        </w:tc>
      </w:tr>
      <w:tr>
        <w:tc>
          <w:tcPr>
            <w:tcW w:type="dxa" w:w="15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Validate</w:t>
            </w:r>
          </w:p>
        </w:tc>
        <w:tc>
          <w:tcPr>
            <w:tcW w:type="dxa" w:w="188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None</w:t>
            </w:r>
          </w:p>
        </w:tc>
        <w:tc>
          <w:tcPr>
            <w:tcW w:type="dxa" w:w="138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None</w:t>
            </w:r>
          </w:p>
        </w:tc>
        <w:tc>
          <w:tcPr>
            <w:tcW w:type="dxa" w:w="46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Run strict local manifest validation against isolated copies</w:t>
            </w:r>
          </w:p>
        </w:tc>
      </w:tr>
      <w:tr>
        <w:tc>
          <w:tcPr>
            <w:tcW w:type="dxa" w:w="15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Plan</w:t>
            </w:r>
          </w:p>
        </w:tc>
        <w:tc>
          <w:tcPr>
            <w:tcW w:type="dxa" w:w="188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Federated identity</w:t>
            </w:r>
          </w:p>
        </w:tc>
        <w:tc>
          <w:tcPr>
            <w:tcW w:type="dxa" w:w="138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None</w:t>
            </w:r>
          </w:p>
        </w:tc>
        <w:tc>
          <w:tcPr>
            <w:tcW w:type="dxa" w:w="46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Evaluate live differences and authorization at the target scope</w:t>
            </w:r>
          </w:p>
        </w:tc>
      </w:tr>
      <w:tr>
        <w:tc>
          <w:tcPr>
            <w:tcW w:type="dxa" w:w="15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Deploy</w:t>
            </w:r>
          </w:p>
        </w:tc>
        <w:tc>
          <w:tcPr>
            <w:tcW w:type="dxa" w:w="188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Federated identity</w:t>
            </w:r>
          </w:p>
        </w:tc>
        <w:tc>
          <w:tcPr>
            <w:tcW w:type="dxa" w:w="138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Bounded</w:t>
            </w:r>
          </w:p>
        </w:tc>
        <w:tc>
          <w:tcPr>
            <w:tcW w:type="dxa" w:w="46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Create, verify, publish evidence, and clean up eligible test resources</w:t>
            </w:r>
          </w:p>
        </w:tc>
      </w:tr>
    </w:tbl>
    <w:p>
      <w:pPr>
        <w:spacing w:after="140" w:line="300"/>
      </w:pPr>
      <w:r>
        <w:rPr>
          <w:rFonts w:ascii="Aptos" w:cs="Aptos" w:eastAsia="Aptos" w:hAnsi="Aptos"/>
          <w:b w:val="false"/>
          <w:bCs w:val="false"/>
          <w:color w:val="182321"/>
          <w:sz w:val="22"/>
          <w:szCs w:val="22"/>
        </w:rPr>
        <w:t xml:space="preserve">Examples 08, 11, and 12 remain validation or contract checks by default. Example 09 remains an admin plan unless the operator supplies a reviewed restoration manifest and explicitly enables tenant-wide mutation.</w:t>
      </w:r>
    </w:p>
    <w:p>
      <w:pPr>
        <w:pStyle w:val="Heading1"/>
      </w:pPr>
      <w:r>
        <w:t xml:space="preserve">Well-Architected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500"/>
        <w:gridCol w:w="2960"/>
      </w:tblGrid>
      <w:tr>
        <w:trPr>
          <w:tblHeader/>
        </w:trPr>
        <w:tc>
          <w:tcPr>
            <w:tcW w:type="dxa" w:w="19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Pillar</w:t>
            </w:r>
          </w:p>
        </w:tc>
        <w:tc>
          <w:tcPr>
            <w:tcW w:type="dxa" w:w="450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Release control</w:t>
            </w:r>
          </w:p>
        </w:tc>
        <w:tc>
          <w:tcPr>
            <w:tcW w:type="dxa" w:w="2960"/>
            <w:tcBorders>
              <w:top w:val="single" w:color="C9D9D4" w:sz="4"/>
              <w:left w:val="single" w:color="C9D9D4" w:sz="4"/>
              <w:bottom w:val="single" w:color="C9D9D4" w:sz="4"/>
              <w:right w:val="single" w:color="C9D9D4" w:sz="4"/>
            </w:tcBorders>
            <w:shd w:fill="153E37" w:val="clear"/>
            <w:tcMar>
              <w:top w:type="dxa" w:w="100"/>
              <w:left w:type="dxa" w:w="140"/>
              <w:bottom w:type="dxa" w:w="100"/>
              <w:right w:type="dxa" w:w="140"/>
            </w:tcMar>
            <w:vAlign w:val="center"/>
          </w:tcPr>
          <w:p>
            <w:pPr>
              <w:spacing w:after="0"/>
            </w:pPr>
            <w:r>
              <w:rPr>
                <w:rFonts w:ascii="Aptos" w:cs="Aptos" w:eastAsia="Aptos" w:hAnsi="Aptos"/>
                <w:b/>
                <w:bCs/>
                <w:color w:val="FFFFFF"/>
                <w:sz w:val="20"/>
                <w:szCs w:val="20"/>
              </w:rPr>
              <w:t xml:space="preserve">Trade-off</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Security</w:t>
            </w:r>
          </w:p>
        </w:tc>
        <w:tc>
          <w:tcPr>
            <w:tcW w:type="dxa" w:w="45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OIDC/workload identity, branch gates, no automatic role grants</w:t>
            </w:r>
          </w:p>
        </w:tc>
        <w:tc>
          <w:tcPr>
            <w:tcW w:type="dxa" w:w="296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More identity and RBAC setup</w:t>
            </w:r>
          </w:p>
        </w:tc>
      </w:tr>
      <w:tr>
        <w:tc>
          <w:tcPr>
            <w:tcW w:type="dxa" w:w="19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Reliability</w:t>
            </w:r>
          </w:p>
        </w:tc>
        <w:tc>
          <w:tcPr>
            <w:tcW w:type="dxa" w:w="45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Preflight gates, timeouts, exact verification, fail-closed cleanup</w:t>
            </w:r>
          </w:p>
        </w:tc>
        <w:tc>
          <w:tcPr>
            <w:tcW w:type="dxa" w:w="296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Longer end-to-end runs</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Performance efficiency</w:t>
            </w:r>
          </w:p>
        </w:tc>
        <w:tc>
          <w:tcPr>
            <w:tcW w:type="dxa" w:w="45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Focused example selection with sequential cloud execution</w:t>
            </w:r>
          </w:p>
        </w:tc>
        <w:tc>
          <w:tcPr>
            <w:tcW w:type="dxa" w:w="296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Full catalogue runs favor stability over speed</w:t>
            </w:r>
          </w:p>
        </w:tc>
      </w:tr>
      <w:tr>
        <w:tc>
          <w:tcPr>
            <w:tcW w:type="dxa" w:w="19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Cost optimization</w:t>
            </w:r>
          </w:p>
        </w:tc>
        <w:tc>
          <w:tcPr>
            <w:tcW w:type="dxa" w:w="450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No mutation for catalogue-only examples and cleanup by default</w:t>
            </w:r>
          </w:p>
        </w:tc>
        <w:tc>
          <w:tcPr>
            <w:tcW w:type="dxa" w:w="2960"/>
            <w:tcBorders>
              <w:top w:val="single" w:color="C9D9D4" w:sz="4"/>
              <w:left w:val="single" w:color="C9D9D4" w:sz="4"/>
              <w:bottom w:val="single" w:color="C9D9D4" w:sz="4"/>
              <w:right w:val="single" w:color="C9D9D4" w:sz="4"/>
            </w:tcBorders>
            <w:shd w:fill="F4F8F7"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Retained diagnostic resources can incur cost</w:t>
            </w:r>
          </w:p>
        </w:tc>
      </w:tr>
      <w:tr>
        <w:tc>
          <w:tcPr>
            <w:tcW w:type="dxa" w:w="19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Operational excellence</w:t>
            </w:r>
          </w:p>
        </w:tc>
        <w:tc>
          <w:tcPr>
            <w:tcW w:type="dxa" w:w="450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One harness and evidence format across local, GitHub, and Azure DevOps</w:t>
            </w:r>
          </w:p>
        </w:tc>
        <w:tc>
          <w:tcPr>
            <w:tcW w:type="dxa" w:w="2960"/>
            <w:tcBorders>
              <w:top w:val="single" w:color="C9D9D4" w:sz="4"/>
              <w:left w:val="single" w:color="C9D9D4" w:sz="4"/>
              <w:bottom w:val="single" w:color="C9D9D4" w:sz="4"/>
              <w:right w:val="single" w:color="C9D9D4" w:sz="4"/>
            </w:tcBorders>
            <w:shd w:fill="FFFFFF" w:val="clear"/>
            <w:tcMar>
              <w:top w:type="dxa" w:w="100"/>
              <w:left w:type="dxa" w:w="140"/>
              <w:bottom w:type="dxa" w:w="100"/>
              <w:right w:type="dxa" w:w="140"/>
            </w:tcMar>
            <w:vAlign w:val="center"/>
          </w:tcPr>
          <w:p>
            <w:pPr>
              <w:spacing w:after="0"/>
            </w:pPr>
            <w:r>
              <w:rPr>
                <w:rFonts w:ascii="Aptos" w:cs="Aptos" w:eastAsia="Aptos" w:hAnsi="Aptos"/>
                <w:b w:val="false"/>
                <w:bCs w:val="false"/>
                <w:color w:val="182321"/>
                <w:sz w:val="20"/>
                <w:szCs w:val="20"/>
              </w:rPr>
              <w:t xml:space="preserve">Operators must review artifacts before promotion</w:t>
            </w:r>
          </w:p>
        </w:tc>
      </w:tr>
    </w:tbl>
    <w:p>
      <w:pPr>
        <w:pStyle w:val="Heading1"/>
      </w:pPr>
      <w:r>
        <w:t xml:space="preserve">Operator quick start</w:t>
      </w:r>
    </w:p>
    <w:p>
      <w:pPr>
        <w:pStyle w:val="Heading2"/>
      </w:pPr>
      <w:r>
        <w:t xml:space="preserve">Install the tools</w:t>
      </w:r>
    </w:p>
    <w:p>
      <w:pPr>
        <w:spacing w:after="140" w:line="300"/>
      </w:pPr>
      <w:r>
        <w:rPr>
          <w:rFonts w:ascii="Aptos" w:cs="Aptos" w:eastAsia="Aptos" w:hAnsi="Aptos"/>
          <w:b/>
          <w:bCs/>
          <w:color w:val="153E37"/>
          <w:sz w:val="22"/>
          <w:szCs w:val="22"/>
        </w:rPr>
        <w:t xml:space="preserve">dotnet tool install --global udp-cicd</w:t>
      </w:r>
    </w:p>
    <w:p>
      <w:pPr>
        <w:spacing w:after="140" w:line="300"/>
      </w:pPr>
      <w:r>
        <w:rPr>
          <w:rFonts w:ascii="Aptos" w:cs="Aptos" w:eastAsia="Aptos" w:hAnsi="Aptos"/>
          <w:b/>
          <w:bCs/>
          <w:color w:val="153E37"/>
          <w:sz w:val="22"/>
          <w:szCs w:val="22"/>
        </w:rPr>
        <w:t xml:space="preserve">dotnet tool install --global udp-cicd-mcp</w:t>
      </w:r>
    </w:p>
    <w:p>
      <w:pPr>
        <w:pStyle w:val="Heading2"/>
      </w:pPr>
      <w:r>
        <w:t xml:space="preserve">Validate a project</w:t>
      </w:r>
    </w:p>
    <w:p>
      <w:pPr>
        <w:spacing w:after="140" w:line="300"/>
      </w:pPr>
      <w:r>
        <w:rPr>
          <w:rFonts w:ascii="Aptos" w:cs="Aptos" w:eastAsia="Aptos" w:hAnsi="Aptos"/>
          <w:b/>
          <w:bCs/>
          <w:color w:val="153E37"/>
          <w:sz w:val="22"/>
          <w:szCs w:val="22"/>
        </w:rPr>
        <w:t xml:space="preserve">udp-cicd validate --strict</w:t>
      </w:r>
    </w:p>
    <w:p>
      <w:pPr>
        <w:spacing w:after="140" w:line="300"/>
      </w:pPr>
      <w:r>
        <w:rPr>
          <w:rFonts w:ascii="Aptos" w:cs="Aptos" w:eastAsia="Aptos" w:hAnsi="Aptos"/>
          <w:b/>
          <w:bCs/>
          <w:color w:val="153E37"/>
          <w:sz w:val="22"/>
          <w:szCs w:val="22"/>
        </w:rPr>
        <w:t xml:space="preserve">udp-cicd plan --target dev</w:t>
      </w:r>
    </w:p>
    <w:p>
      <w:pPr>
        <w:pStyle w:val="Heading2"/>
      </w:pPr>
      <w:r>
        <w:t xml:space="preserve">Validate all repository examples</w:t>
      </w:r>
    </w:p>
    <w:p>
      <w:pPr>
        <w:spacing w:after="140" w:line="300"/>
      </w:pPr>
      <w:r>
        <w:rPr>
          <w:rFonts w:ascii="Aptos" w:cs="Aptos" w:eastAsia="Aptos" w:hAnsi="Aptos"/>
          <w:b/>
          <w:bCs/>
          <w:color w:val="153E37"/>
          <w:sz w:val="22"/>
          <w:szCs w:val="22"/>
        </w:rPr>
        <w:t xml:space="preserve">pwsh ./deployment-tests/Invoke-DeploymentTestSuite.ps1 -Mode Validate</w:t>
      </w:r>
    </w:p>
    <w:p>
      <w:pPr>
        <w:pStyle w:val="Heading2"/>
      </w:pPr>
      <w:r>
        <w:t xml:space="preserve">Build the Ontology Builder</w:t>
      </w:r>
    </w:p>
    <w:p>
      <w:pPr>
        <w:spacing w:after="140" w:line="300"/>
      </w:pPr>
      <w:r>
        <w:rPr>
          <w:rFonts w:ascii="Aptos" w:cs="Aptos" w:eastAsia="Aptos" w:hAnsi="Aptos"/>
          <w:b/>
          <w:bCs/>
          <w:color w:val="153E37"/>
          <w:sz w:val="22"/>
          <w:szCs w:val="22"/>
        </w:rPr>
        <w:t xml:space="preserve">dotnet build dotnet/src/UdpCicd.Ontology -c Release</w:t>
      </w:r>
    </w:p>
    <w:p>
      <w:pPr>
        <w:pStyle w:val="Heading1"/>
      </w:pPr>
      <w:r>
        <w:t xml:space="preserve">Support boundaries</w:t>
      </w:r>
    </w:p>
    <w:p>
      <w:pPr>
        <w:pStyle w:val="ListParagraph"/>
        <w:numPr>
          <w:ilvl w:val="0"/>
          <w:numId w:val="3"/>
        </w:numPr>
        <w:spacing w:after="90" w:line="280"/>
      </w:pPr>
      <w:r>
        <w:rPr>
          <w:rFonts w:ascii="Aptos" w:cs="Aptos" w:eastAsia="Aptos" w:hAnsi="Aptos"/>
          <w:color w:val="182321"/>
          <w:sz w:val="21"/>
          <w:szCs w:val="21"/>
        </w:rPr>
        <w:t xml:space="preserve">The Ontology Builder is Windows-only in this release and publishes new Ontology items rather than updating existing items.</w:t>
      </w:r>
    </w:p>
    <w:p>
      <w:pPr>
        <w:pStyle w:val="ListParagraph"/>
        <w:numPr>
          <w:ilvl w:val="0"/>
          <w:numId w:val="3"/>
        </w:numPr>
        <w:spacing w:after="90" w:line="280"/>
      </w:pPr>
      <w:r>
        <w:rPr>
          <w:rFonts w:ascii="Aptos" w:cs="Aptos" w:eastAsia="Aptos" w:hAnsi="Aptos"/>
          <w:color w:val="182321"/>
          <w:sz w:val="21"/>
          <w:szCs w:val="21"/>
        </w:rPr>
        <w:t xml:space="preserve">Ontology data bindings to Lakehouse or Eventhouse tables are completed in Fabric after publication.</w:t>
      </w:r>
    </w:p>
    <w:p>
      <w:pPr>
        <w:pStyle w:val="ListParagraph"/>
        <w:numPr>
          <w:ilvl w:val="0"/>
          <w:numId w:val="3"/>
        </w:numPr>
        <w:spacing w:after="90" w:line="280"/>
      </w:pPr>
      <w:r>
        <w:rPr>
          <w:rFonts w:ascii="Aptos" w:cs="Aptos" w:eastAsia="Aptos" w:hAnsi="Aptos"/>
          <w:color w:val="182321"/>
          <w:sz w:val="21"/>
          <w:szCs w:val="21"/>
        </w:rPr>
        <w:t xml:space="preserve">The deployment harness never grants permissions and intentionally leaks test resources when ownership cannot be proven.</w:t>
      </w:r>
    </w:p>
    <w:p>
      <w:pPr>
        <w:pStyle w:val="ListParagraph"/>
        <w:numPr>
          <w:ilvl w:val="0"/>
          <w:numId w:val="3"/>
        </w:numPr>
        <w:spacing w:after="90" w:line="280"/>
      </w:pPr>
      <w:r>
        <w:rPr>
          <w:rFonts w:ascii="Aptos" w:cs="Aptos" w:eastAsia="Aptos" w:hAnsi="Aptos"/>
          <w:color w:val="182321"/>
          <w:sz w:val="21"/>
          <w:szCs w:val="21"/>
        </w:rPr>
        <w:t xml:space="preserve">Cloud mutation should run only in dedicated test scopes with reviewed inputs and protected identities.</w:t>
      </w:r>
    </w:p>
    <w:p>
      <w:pPr>
        <w:pStyle w:val="Heading1"/>
      </w:pPr>
      <w:r>
        <w:t xml:space="preserve">References</w:t>
      </w:r>
    </w:p>
    <w:p>
      <w:pPr>
        <w:spacing w:after="90"/>
      </w:pPr>
      <w:hyperlink w:history="1" r:id="rIde_6iyknlsrvpptipqczpl">
        <w:r>
          <w:rPr>
            <w:rStyle w:val="Hyperlink"/>
          </w:rPr>
          <w:t xml:space="preserve">Product documentation</w:t>
        </w:r>
      </w:hyperlink>
    </w:p>
    <w:p>
      <w:pPr>
        <w:spacing w:after="90"/>
      </w:pPr>
      <w:hyperlink w:history="1" r:id="rIdcaasyzk2os2uurujp4avz">
        <w:r>
          <w:rPr>
            <w:rStyle w:val="Hyperlink"/>
          </w:rPr>
          <w:t xml:space="preserve">Source repository</w:t>
        </w:r>
      </w:hyperlink>
    </w:p>
    <w:p>
      <w:pPr>
        <w:spacing w:after="90"/>
      </w:pPr>
      <w:hyperlink w:history="1" r:id="rIdcbtko-inx-kqyjbzaw0ls">
        <w:r>
          <w:rPr>
            <w:rStyle w:val="Hyperlink"/>
          </w:rPr>
          <w:t xml:space="preserve">Latest release</w:t>
        </w:r>
      </w:hyperlink>
    </w:p>
    <w:p>
      <w:pPr>
        <w:spacing w:after="90"/>
      </w:pPr>
      <w:hyperlink w:history="1" r:id="rIdtrzokrudmfocrspncal4d">
        <w:r>
          <w:rPr>
            <w:rStyle w:val="Hyperlink"/>
          </w:rPr>
          <w:t xml:space="preserve">NuGet CLI package</w:t>
        </w:r>
      </w:hyperlink>
    </w:p>
    <w:p>
      <w:pPr>
        <w:spacing w:after="90"/>
      </w:pPr>
      <w:hyperlink w:history="1" r:id="rId-9ets4lijila6iswxejbd">
        <w:r>
          <w:rPr>
            <w:rStyle w:val="Hyperlink"/>
          </w:rPr>
          <w:t xml:space="preserve">NuGet MCP package</w:t>
        </w:r>
      </w:hyperlink>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6B67"/>
        <w:sz w:val="17"/>
        <w:szCs w:val="17"/>
      </w:rPr>
      <w:t xml:space="preserve">Page </w:t>
    </w:r>
    <w:r>
      <w:rPr>
        <w:color w:val="5B6B67"/>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8C7A" w:sz="7" w:space="1"/>
      </w:pBdr>
    </w:pPr>
    <w:r>
      <w:rPr>
        <w:rFonts w:ascii="Aptos" w:cs="Aptos" w:eastAsia="Aptos" w:hAnsi="Aptos"/>
        <w:color w:val="5B6B67"/>
        <w:sz w:val="17"/>
        <w:szCs w:val="17"/>
      </w:rPr>
      <w:t xml:space="preserve">UDP-CICD | Product Brief | v1.14.0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00"/>
      </w:pPr>
    </w:lvl>
  </w:abstractNum>
  <w:abstractNum w:abstractNumId="3" w15:restartNumberingAfterBreak="0">
    <w:multiLevelType w:val="hybridMultilevel"/>
    <w:lvl w:ilvl="0" w15:tentative="1">
      <w:start w:val="1"/>
      <w:numFmt w:val="decimal"/>
      <w:lvlText w:val="%1."/>
      <w:lvlJc w:val="left"/>
      <w:pPr>
        <w:ind w:left="62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8232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50" w:before="320"/>
      <w:outlineLvl w:val="0"/>
    </w:pPr>
    <w:rPr>
      <w:rFonts w:ascii="Aptos Display" w:cs="Aptos Display" w:eastAsia="Aptos Display" w:hAnsi="Aptos Display"/>
      <w:b/>
      <w:bCs/>
      <w:color w:val="102A27"/>
      <w:sz w:val="32"/>
      <w:szCs w:val="32"/>
    </w:rPr>
  </w:style>
  <w:style w:type="paragraph" w:styleId="Heading2">
    <w:name w:val="Heading 2"/>
    <w:basedOn w:val="Normal"/>
    <w:next w:val="Normal"/>
    <w:qFormat/>
    <w:pPr>
      <w:spacing w:after="100" w:before="220"/>
      <w:outlineLvl w:val="1"/>
    </w:pPr>
    <w:rPr>
      <w:rFonts w:ascii="Aptos Display" w:cs="Aptos Display" w:eastAsia="Aptos Display" w:hAnsi="Aptos Display"/>
      <w:b/>
      <w:bCs/>
      <w:color w:val="008C7A"/>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_6iyknlsrvpptipqczpl" Type="http://schemas.openxmlformats.org/officeDocument/2006/relationships/hyperlink" Target="https://PatrickGallucci.github.io/udp-cicd/" TargetMode="External"/><Relationship Id="rIdcaasyzk2os2uurujp4avz" Type="http://schemas.openxmlformats.org/officeDocument/2006/relationships/hyperlink" Target="https://github.com/PatrickGallucci/udp-cicd" TargetMode="External"/><Relationship Id="rIdcbtko-inx-kqyjbzaw0ls" Type="http://schemas.openxmlformats.org/officeDocument/2006/relationships/hyperlink" Target="https://github.com/PatrickGallucci/udp-cicd/releases/latest" TargetMode="External"/><Relationship Id="rIdtrzokrudmfocrspncal4d" Type="http://schemas.openxmlformats.org/officeDocument/2006/relationships/hyperlink" Target="https://www.nuget.org/packages/udp-cicd/" TargetMode="External"/><Relationship Id="rId-9ets4lijila6iswxejbd" Type="http://schemas.openxmlformats.org/officeDocument/2006/relationships/hyperlink" Target="https://www.nuget.org/packages/udp-cicd-mcp/" TargetMode="External"/><Relationship Id="rId9" Type="http://schemas.openxmlformats.org/officeDocument/2006/relationships/image" Target="media/039b8dda6b7b9838cc4294e93920f6daf3c9cb35.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UDP-CICD Product and Operations Brief</dc:title>
  <dc:creator>GitHub Copilot</dc:creator>
  <dc:description>Product and operations brief for UDP-CICD 1.14.0</dc:description>
  <cp:lastModifiedBy>Un-named</cp:lastModifiedBy>
  <cp:revision>1</cp:revision>
  <dcterms:created xsi:type="dcterms:W3CDTF">2026-07-31T23:02:49.914Z</dcterms:created>
  <dcterms:modified xsi:type="dcterms:W3CDTF">2026-07-31T23:02:49.915Z</dcterms:modified>
</cp:coreProperties>
</file>

<file path=docProps/custom.xml><?xml version="1.0" encoding="utf-8"?>
<Properties xmlns="http://schemas.openxmlformats.org/officeDocument/2006/custom-properties" xmlns:vt="http://schemas.openxmlformats.org/officeDocument/2006/docPropsVTypes"/>
</file>